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最高人民法院关于发布第33批指导性案例的通知</w:t>
      </w:r>
    </w:p>
    <w:p>
      <w:pPr>
        <w:pStyle w:val="3"/>
        <w:keepNext w:val="0"/>
        <w:keepLines w:val="0"/>
        <w:widowControl/>
        <w:suppressLineNumbers w:val="0"/>
      </w:pPr>
      <w:r>
        <w:t>来源：最高       发表日期：2023-04-20       浏览量：92</w:t>
      </w:r>
    </w:p>
    <w:p>
      <w:pPr>
        <w:pStyle w:val="3"/>
        <w:keepNext w:val="0"/>
        <w:keepLines w:val="0"/>
        <w:widowControl/>
        <w:suppressLineNumbers w:val="0"/>
        <w:ind w:left="0" w:firstLine="420"/>
        <w:jc w:val="center"/>
      </w:pPr>
      <w:r>
        <w:rPr>
          <w:sz w:val="24"/>
          <w:szCs w:val="24"/>
        </w:rPr>
        <w:t>最高人民法院　</w:t>
      </w:r>
    </w:p>
    <w:p>
      <w:pPr>
        <w:pStyle w:val="3"/>
        <w:keepNext w:val="0"/>
        <w:keepLines w:val="0"/>
        <w:widowControl/>
        <w:suppressLineNumbers w:val="0"/>
        <w:ind w:left="0" w:firstLine="420"/>
        <w:jc w:val="center"/>
      </w:pPr>
      <w:r>
        <w:rPr>
          <w:rStyle w:val="6"/>
          <w:sz w:val="21"/>
          <w:szCs w:val="21"/>
        </w:rPr>
        <w:t>关于发布第33批指导性案例的通知</w:t>
      </w:r>
    </w:p>
    <w:p>
      <w:pPr>
        <w:pStyle w:val="3"/>
        <w:keepNext w:val="0"/>
        <w:keepLines w:val="0"/>
        <w:widowControl/>
        <w:suppressLineNumbers w:val="0"/>
        <w:ind w:left="0" w:firstLine="420"/>
        <w:jc w:val="center"/>
      </w:pPr>
      <w:r>
        <w:t>法〔2022〕236号</w:t>
      </w:r>
    </w:p>
    <w:p>
      <w:pPr>
        <w:pStyle w:val="3"/>
        <w:keepNext w:val="0"/>
        <w:keepLines w:val="0"/>
        <w:widowControl/>
        <w:suppressLineNumbers w:val="0"/>
        <w:ind w:left="0" w:firstLine="0"/>
        <w:jc w:val="both"/>
      </w:pPr>
      <w:r>
        <w:t>各省、自治区、直辖市高级人民法院，解放军军事法院，新疆维吾尔自治区高级人民法院生产建设兵团分院：</w:t>
      </w:r>
    </w:p>
    <w:p>
      <w:pPr>
        <w:pStyle w:val="3"/>
        <w:keepNext w:val="0"/>
        <w:keepLines w:val="0"/>
        <w:widowControl/>
        <w:suppressLineNumbers w:val="0"/>
        <w:ind w:left="0" w:firstLine="420"/>
        <w:jc w:val="both"/>
      </w:pPr>
      <w:r>
        <w:t>经最高人民法院审判委员会讨论决定，现将龚品文等组织、领导、参加黑社会性质组织案等三个案例（指导案例186-188号），作为第33批指导性案例发布，供审判类似案件时参照。</w:t>
      </w:r>
    </w:p>
    <w:p>
      <w:pPr>
        <w:pStyle w:val="3"/>
        <w:keepNext w:val="0"/>
        <w:keepLines w:val="0"/>
        <w:widowControl/>
        <w:suppressLineNumbers w:val="0"/>
        <w:ind w:left="0" w:firstLine="420"/>
        <w:jc w:val="right"/>
      </w:pPr>
      <w:r>
        <w:t>2022年11月29日</w:t>
      </w:r>
    </w:p>
    <w:p>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ind w:left="0" w:firstLine="420"/>
        <w:jc w:val="center"/>
      </w:pPr>
      <w:r>
        <w:t>指导案例186号</w:t>
      </w:r>
    </w:p>
    <w:p>
      <w:pPr>
        <w:pStyle w:val="3"/>
        <w:keepNext w:val="0"/>
        <w:keepLines w:val="0"/>
        <w:widowControl/>
        <w:suppressLineNumbers w:val="0"/>
        <w:ind w:left="0" w:firstLine="420"/>
        <w:jc w:val="center"/>
      </w:pPr>
      <w:r>
        <w:rPr>
          <w:rStyle w:val="6"/>
          <w:sz w:val="19"/>
          <w:szCs w:val="19"/>
        </w:rPr>
        <w:t>龚品文等组织、领导、参加黑社会性质组织案</w:t>
      </w:r>
    </w:p>
    <w:p>
      <w:pPr>
        <w:pStyle w:val="3"/>
        <w:keepNext w:val="0"/>
        <w:keepLines w:val="0"/>
        <w:widowControl/>
        <w:suppressLineNumbers w:val="0"/>
        <w:ind w:left="0" w:firstLine="420"/>
        <w:jc w:val="center"/>
      </w:pPr>
      <w:r>
        <w:t>（最高人民法院审判委员会讨论通过2022年11月29日发布）</w:t>
      </w:r>
    </w:p>
    <w:p>
      <w:pPr>
        <w:pStyle w:val="3"/>
        <w:keepNext w:val="0"/>
        <w:keepLines w:val="0"/>
        <w:widowControl/>
        <w:suppressLineNumbers w:val="0"/>
        <w:ind w:left="0" w:firstLine="420"/>
        <w:jc w:val="left"/>
      </w:pPr>
      <w:r>
        <w:t>关键词 刑事/组织、领导、参加黑社会性质组织罪/行为特征/软暴力</w:t>
      </w:r>
    </w:p>
    <w:p>
      <w:pPr>
        <w:pStyle w:val="3"/>
        <w:keepNext w:val="0"/>
        <w:keepLines w:val="0"/>
        <w:widowControl/>
        <w:suppressLineNumbers w:val="0"/>
        <w:ind w:left="0" w:firstLine="420"/>
        <w:jc w:val="both"/>
      </w:pPr>
      <w:r>
        <w:t>裁判要点</w:t>
      </w:r>
    </w:p>
    <w:p>
      <w:pPr>
        <w:pStyle w:val="3"/>
        <w:keepNext w:val="0"/>
        <w:keepLines w:val="0"/>
        <w:widowControl/>
        <w:suppressLineNumbers w:val="0"/>
        <w:ind w:left="0" w:firstLine="420"/>
        <w:jc w:val="both"/>
      </w:pPr>
      <w:r>
        <w:t>犯罪组织以其势力、影响和暴力手段的现实可能性为依托，有组织地长期采用多种“软暴力”手段实施大量违法犯罪行为，同时辅之以“硬暴力”，“软暴力”有向“硬暴力”转化的现实可能性，足以使群众产生恐惧、恐慌进而形成心理强制，并已造成严重危害后果，严重破坏经济、社会生活秩序的，应认定该犯罪组织具有黑社会性质组织的行为特征。</w:t>
      </w:r>
    </w:p>
    <w:p>
      <w:pPr>
        <w:pStyle w:val="3"/>
        <w:keepNext w:val="0"/>
        <w:keepLines w:val="0"/>
        <w:widowControl/>
        <w:suppressLineNumbers w:val="0"/>
        <w:ind w:left="0" w:firstLine="420"/>
        <w:jc w:val="both"/>
      </w:pPr>
      <w:r>
        <w:t>相关法条</w:t>
      </w:r>
    </w:p>
    <w:p>
      <w:pPr>
        <w:pStyle w:val="3"/>
        <w:keepNext w:val="0"/>
        <w:keepLines w:val="0"/>
        <w:widowControl/>
        <w:suppressLineNumbers w:val="0"/>
        <w:ind w:left="0" w:firstLine="420"/>
        <w:jc w:val="both"/>
      </w:pPr>
      <w:r>
        <w:t>《中华人民共和国刑法》第294条</w:t>
      </w:r>
    </w:p>
    <w:p>
      <w:pPr>
        <w:pStyle w:val="3"/>
        <w:keepNext w:val="0"/>
        <w:keepLines w:val="0"/>
        <w:widowControl/>
        <w:suppressLineNumbers w:val="0"/>
        <w:ind w:left="0" w:firstLine="420"/>
        <w:jc w:val="both"/>
      </w:pPr>
      <w:r>
        <w:t>基本案情</w:t>
      </w:r>
    </w:p>
    <w:p>
      <w:pPr>
        <w:pStyle w:val="3"/>
        <w:keepNext w:val="0"/>
        <w:keepLines w:val="0"/>
        <w:widowControl/>
        <w:suppressLineNumbers w:val="0"/>
        <w:ind w:left="0" w:firstLine="420"/>
        <w:jc w:val="both"/>
      </w:pPr>
      <w:r>
        <w:t>2013年以来，被告人龚品文、刘海涛在江苏省常熟市从事开设赌场、高利放贷活动，并主动结识社会闲杂人员，逐渐积累经济实力。2014年7月起，被告人龚品文、刘海涛组织被告人马海波、赵杰、王海东、王德运、陈春雷等人，形成了以被告人龚品文、刘海涛为首的较为稳定的犯罪组织，并于2015年4月实施了首次有组织犯罪。2016年下半年、2017年8月梁立志、崔海华先后加入该组织。</w:t>
      </w:r>
    </w:p>
    <w:p>
      <w:pPr>
        <w:pStyle w:val="3"/>
        <w:keepNext w:val="0"/>
        <w:keepLines w:val="0"/>
        <w:widowControl/>
        <w:suppressLineNumbers w:val="0"/>
        <w:ind w:left="0" w:firstLine="420"/>
        <w:jc w:val="both"/>
      </w:pPr>
      <w:r>
        <w:t>该组织人数众多，组织者、领导者明确，骨干成员固定。被告人龚品文为该组织的组织者、领导者，被告人刘海涛为该组织的领导者，被告人马海波、赵杰、王海东、王德运、陈春雷等人为积极参加者，被告人崔海华、梁立志等人为一般成员。该组织内部分工明确，龚品文、刘海涛负责决策和指挥整个组织的运转；被告人马海波、赵杰、王海东、王德运、陈春雷受被告人龚品文、刘海涛的指派开设赌场牟取利益，并在赌场内抽取“庄风款”“放水”、记账，按照被告人龚品文、刘海涛的指派为讨债而实施非法拘禁、寻衅滋事、敲诈勒索、强迫交易等违法犯罪行为，崔海华、梁立志参与寻衅滋事违法犯罪行为。该组织为规避侦查，强化管理，维护自身利益，逐步形成了“红钱按比例分配”“放贷本息如实上报，不得做手脚”等不成文的规约，对成员的行动进行约束。在借款时使用同伙名义，资金出借时留下痕迹，讨债时规避法律。建立奖惩制度，讨债积极者予以奖励，讨债不积极者予以训斥。该组织通过有组织地实施开设赌场、高利放贷等违法手段聚敛资产，具有较强的经济实力。其中，该组织通过开设赌场非法获利的金额仅查实的就达人民币300余万元。另，在上述被告人处搜查到放贷借条金额高达人民币4000余万元，资金流水人民币上亿元。该组织以非法聚敛的财产用于支持违法犯罪活动，或为违法犯罪活动“善后”，如购买GPS等装备、赔付因讨债而砸坏的物品，以及支付被刑事拘留后聘请律师的费用。该组织为维护其非法利益，以暴力、威胁等手段，有组织地实施了开设赌场、寻衅滋事、非法拘禁、强迫交易、敲诈勒索等违法犯罪活动，并长期实施多种“软暴力”行为，为非作恶，欺压、残害群众，严重破坏社会治安，妨害社会管理秩序，在江苏省常熟市及周边地区造成了恶劣的社会影响。该黑社会性质组织在形成、发展过程中，为寻求建立稳定犯罪组织，牟取高额非法利益而实施大量违法犯罪活动。主要犯罪事实如下：</w:t>
      </w:r>
    </w:p>
    <w:p>
      <w:pPr>
        <w:pStyle w:val="3"/>
        <w:keepNext w:val="0"/>
        <w:keepLines w:val="0"/>
        <w:widowControl/>
        <w:suppressLineNumbers w:val="0"/>
        <w:ind w:left="0" w:firstLine="420"/>
        <w:jc w:val="both"/>
      </w:pPr>
      <w:r>
        <w:t>（一）开设赌场罪</w:t>
      </w:r>
    </w:p>
    <w:p>
      <w:pPr>
        <w:pStyle w:val="3"/>
        <w:keepNext w:val="0"/>
        <w:keepLines w:val="0"/>
        <w:widowControl/>
        <w:suppressLineNumbers w:val="0"/>
        <w:ind w:left="0" w:firstLine="420"/>
        <w:jc w:val="both"/>
      </w:pPr>
      <w:r>
        <w:t>2015年4月至2018年2月，被告人龚品文、刘海涛、马海波、王海东、赵杰、王德运、陈春雷多次伙同他人在江苏省常熟市海虞镇、辛庄镇等地开设赌场，仅查明的非法获利就达人民币300余万元。</w:t>
      </w:r>
    </w:p>
    <w:p>
      <w:pPr>
        <w:pStyle w:val="3"/>
        <w:keepNext w:val="0"/>
        <w:keepLines w:val="0"/>
        <w:widowControl/>
        <w:suppressLineNumbers w:val="0"/>
        <w:ind w:left="0" w:firstLine="420"/>
        <w:jc w:val="both"/>
      </w:pPr>
      <w:r>
        <w:t>（二）寻衅滋事罪</w:t>
      </w:r>
    </w:p>
    <w:p>
      <w:pPr>
        <w:pStyle w:val="3"/>
        <w:keepNext w:val="0"/>
        <w:keepLines w:val="0"/>
        <w:widowControl/>
        <w:suppressLineNumbers w:val="0"/>
        <w:ind w:left="0" w:firstLine="420"/>
        <w:jc w:val="both"/>
      </w:pPr>
      <w:r>
        <w:t>2014年至2018年，被告人龚品文、刘海涛伙同其他被告人，在江苏省常熟市原虞山镇、梅李镇、辛庄镇等多地，发放年息84%-360%的高利贷，并为索要所谓“利息”，有组织地对被害人及其亲属采取拦截、辱骂、言语威胁、砸玻璃、在被害人住所喷漆、拉横幅等方式进行滋事，共计56起120余次。</w:t>
      </w:r>
    </w:p>
    <w:p>
      <w:pPr>
        <w:pStyle w:val="3"/>
        <w:keepNext w:val="0"/>
        <w:keepLines w:val="0"/>
        <w:widowControl/>
        <w:suppressLineNumbers w:val="0"/>
        <w:ind w:left="0" w:firstLine="420"/>
        <w:jc w:val="both"/>
      </w:pPr>
      <w:r>
        <w:t>（三）非法拘禁罪</w:t>
      </w:r>
    </w:p>
    <w:p>
      <w:pPr>
        <w:pStyle w:val="3"/>
        <w:keepNext w:val="0"/>
        <w:keepLines w:val="0"/>
        <w:widowControl/>
        <w:suppressLineNumbers w:val="0"/>
        <w:ind w:left="0" w:firstLine="420"/>
        <w:jc w:val="both"/>
      </w:pPr>
      <w:r>
        <w:t>2015年至2016年，被告人龚品文、刘海涛、马海波、王海东、赵杰、王德运、陈春雷在江苏省常熟市等多地，为索要高利贷等目的非法拘禁他人10起，其中对部分被害人实施辱骂、泼水、打砸物品等行为。</w:t>
      </w:r>
    </w:p>
    <w:p>
      <w:pPr>
        <w:pStyle w:val="3"/>
        <w:keepNext w:val="0"/>
        <w:keepLines w:val="0"/>
        <w:widowControl/>
        <w:suppressLineNumbers w:val="0"/>
        <w:ind w:left="0" w:firstLine="420"/>
        <w:jc w:val="both"/>
      </w:pPr>
      <w:r>
        <w:t>（四）强迫交易罪</w:t>
      </w:r>
    </w:p>
    <w:p>
      <w:pPr>
        <w:pStyle w:val="3"/>
        <w:keepNext w:val="0"/>
        <w:keepLines w:val="0"/>
        <w:widowControl/>
        <w:suppressLineNumbers w:val="0"/>
        <w:ind w:left="0" w:firstLine="420"/>
        <w:jc w:val="both"/>
      </w:pPr>
      <w:r>
        <w:t>1.2013年3月，被告人龚品文向胡某某发放高利贷，张某某担保。为索要高利贷本金及利息，在非法拘禁被害人后，被告人龚品文强迫被害人张某某到王某某家提供家政服务长达一年有余，被告人龚品文从中非法获利人民币25500元。</w:t>
      </w:r>
    </w:p>
    <w:p>
      <w:pPr>
        <w:pStyle w:val="3"/>
        <w:keepNext w:val="0"/>
        <w:keepLines w:val="0"/>
        <w:widowControl/>
        <w:suppressLineNumbers w:val="0"/>
        <w:ind w:left="0" w:firstLine="420"/>
        <w:jc w:val="both"/>
      </w:pPr>
      <w:r>
        <w:t>2.2014年11月，被告人刘海涛、王海东向陈某某发放高利贷，陶某某担保。在多次进行滋事后，被告人王海东、刘海涛强迫被害人陶某某于2017年4月至2018年1月到被告人住处提供约定价值人民币6000余元的家政服务共计80余次。</w:t>
      </w:r>
    </w:p>
    <w:p>
      <w:pPr>
        <w:pStyle w:val="3"/>
        <w:keepNext w:val="0"/>
        <w:keepLines w:val="0"/>
        <w:widowControl/>
        <w:suppressLineNumbers w:val="0"/>
        <w:ind w:left="0" w:firstLine="420"/>
        <w:jc w:val="both"/>
      </w:pPr>
      <w:r>
        <w:t>（五）敲诈勒索罪</w:t>
      </w:r>
    </w:p>
    <w:p>
      <w:pPr>
        <w:pStyle w:val="3"/>
        <w:keepNext w:val="0"/>
        <w:keepLines w:val="0"/>
        <w:widowControl/>
        <w:suppressLineNumbers w:val="0"/>
        <w:ind w:left="0" w:firstLine="420"/>
        <w:jc w:val="both"/>
      </w:pPr>
      <w:r>
        <w:t>2017年8月31日至2018年1月21日，被告人刘海涛、王海东、王德运、陈春雷实施敲诈勒索3起，以签订“车辆抵押合同”、安装GPS的方式，与被害人签订高出实际出借资金的借条并制造相应的资金走账流水，通过拖走车辆等方式对被害人进行要挟，并非法获利合计人民币5.83万元。</w:t>
      </w:r>
    </w:p>
    <w:p>
      <w:pPr>
        <w:pStyle w:val="3"/>
        <w:keepNext w:val="0"/>
        <w:keepLines w:val="0"/>
        <w:widowControl/>
        <w:suppressLineNumbers w:val="0"/>
        <w:ind w:left="0" w:firstLine="420"/>
        <w:jc w:val="both"/>
      </w:pPr>
      <w:r>
        <w:t>裁判结果</w:t>
      </w:r>
    </w:p>
    <w:p>
      <w:pPr>
        <w:pStyle w:val="3"/>
        <w:keepNext w:val="0"/>
        <w:keepLines w:val="0"/>
        <w:widowControl/>
        <w:suppressLineNumbers w:val="0"/>
        <w:ind w:left="0" w:firstLine="420"/>
        <w:jc w:val="both"/>
      </w:pPr>
      <w:r>
        <w:t>江苏省常熟市人民法院于2018年10月19日作出（2018）苏0581刑初1121号刑事判决，认定被告人龚品文犯组织、领导黑社会性质组织罪，与其所犯开设赌场罪、寻衅滋事罪、非法拘禁罪等数罪并罚，决定执行有期徒刑二十年，剥夺政治权利二年，并处没收个人全部财产，罚金人民币十二万元；认定被告人刘海涛犯领导黑社会性质组织罪，与其所犯开设赌场罪、寻衅滋事罪、非法拘禁罪等数罪并罚，决定执行有期徒刑十八年，剥夺政治权利二年，并处没收个人全部财产，罚金人民币十一万元；对其他参加黑社会性质组织的成员亦判处了相应刑罚。一审宣判后，龚品文、刘海涛等人提出上诉。江苏省苏州市中级人民法院于2019年1月7日作出（2018）苏05刑终1055号刑事裁定：驳回上诉，维持原判。</w:t>
      </w:r>
    </w:p>
    <w:p>
      <w:pPr>
        <w:pStyle w:val="3"/>
        <w:keepNext w:val="0"/>
        <w:keepLines w:val="0"/>
        <w:widowControl/>
        <w:suppressLineNumbers w:val="0"/>
        <w:ind w:left="0" w:firstLine="420"/>
        <w:jc w:val="both"/>
      </w:pPr>
      <w:r>
        <w:t>裁判理由</w:t>
      </w:r>
    </w:p>
    <w:p>
      <w:pPr>
        <w:pStyle w:val="3"/>
        <w:keepNext w:val="0"/>
        <w:keepLines w:val="0"/>
        <w:widowControl/>
        <w:suppressLineNumbers w:val="0"/>
        <w:ind w:left="0" w:firstLine="420"/>
        <w:jc w:val="both"/>
      </w:pPr>
      <w:r>
        <w:t>法院生效裁判认为：</w:t>
      </w:r>
    </w:p>
    <w:p>
      <w:pPr>
        <w:pStyle w:val="3"/>
        <w:keepNext w:val="0"/>
        <w:keepLines w:val="0"/>
        <w:widowControl/>
        <w:suppressLineNumbers w:val="0"/>
        <w:ind w:left="0" w:firstLine="420"/>
        <w:jc w:val="both"/>
      </w:pPr>
      <w:r>
        <w:t>（一）关于组织特征。一是该犯罪组织的成长轨迹明确。龚品文与刘海涛二人于2007年左右先后至江苏省常熟市打工，后龚品文从少量资金起步，与刘海涛等人合作开设赌场并放高利贷，逐步积累经济实力，后其他组织成员相继加入，参股放贷。在高利放贷过程中，因互相占股分利，组织成员利益相互交织，关系日趋紧密，架构不断成熟，并最终形成了以龚品文为组织者、领导者，刘海涛为领导者，王海东、王德运、陈春雷、马海波、赵杰为积极参加者，崔海华、梁立志为一般参加者的较稳定的违法犯罪组织。二是该犯罪组织的行为方式和组织意图明确，该组织通过开设赌场和高利放贷聚敛非法财富，在讨债过程中，以滋扰纠缠、打砸恐吓、出场摆势、言语威胁、围堵拦截等“软暴力”方式为惯常行为手段，实施一系列违法犯罪活动，目的是实现非法债权，意图最大限度攫取经济利益。由于组织成员系互相占股出资及分利，故无论组织中哪些成员实施违法犯罪活动，相关非法利益的实现均惠及全体出资的组织成员，符合组织利益及组织意图，为组织不断扩大非法放贷规模，增强犯罪能力等进一步发展提供基础，创造条件。三是该犯罪组织的层级结构明确，该组织以龚品文、刘海涛为基础，龚品文吸收发展马海波、赵杰，刘海涛吸收发展王海东、王德运、陈春雷，形成二元层级关系，各被告人对所谓“替谁帮忙、找谁商量”均有明确认识。在具体违法犯罪活动中，以共同开设赌场并非法放贷为标志，两股势力由合作进而汇流，互相占股出资放贷，共同违法犯罪讨债，后期又吸收崔海华、梁立志加入，形成三元层级结构。在组织架构中，组织、领导者非常明显，积极参加者和骨干成员基本固定，人员规模逐渐增大，且本案后续所涉及的黑社会性质组织的其他犯罪均是由这些组织成员所为。四是该犯罪组织的行为规则明确，组织成员均接受并认同出资后按比例记公账分利、讨债时替组织出头等行为规则。这些规则不仅有组织成员供述，也与组织的实际运作模式和实际违法犯罪活动情况相吻合，相关行事规则为纠合组织成员，形成共同利益，保持组织正常运转起到重要作用。综上，该组织有一定规模，人员基本稳定，有明确的组织者、领导者，骨干成员固定，内部层次分明，符合黑社会性质组织的组织特征。</w:t>
      </w:r>
    </w:p>
    <w:p>
      <w:pPr>
        <w:pStyle w:val="3"/>
        <w:keepNext w:val="0"/>
        <w:keepLines w:val="0"/>
        <w:widowControl/>
        <w:suppressLineNumbers w:val="0"/>
        <w:ind w:left="0" w:firstLine="420"/>
        <w:jc w:val="both"/>
      </w:pPr>
      <w:r>
        <w:t>（二）关于经济特征。一是该犯罪组织通过违法犯罪活动快速聚敛经济利益。该组织以开设赌场、非法高利放贷为基础和资金来源，通过大量实施寻衅滋事、非法拘禁等违法犯罪活动保障非法债权实现，大量攫取非法经济利益。其中，开设赌场并实施非法高利放贷部分，有据可查的非法获利金额就达人民币300余万元，且大部分被继续用于非法放贷。在案查获的部分放贷单据显示该组织放贷规模已达人民币4000余万元，查实银行资金流水已过亿元，具有较强的经济实力。二是该犯罪组织以经济实力支持该组织的活动。该组织获得的经济利益部分用于支持为组织利益而实施的违法犯罪活动，该组织经济利益的获取过程也是强化组织架构的过程。综上，该组织聚敛大量钱财，又继续用于维系和强化组织生存发展，符合黑社会性质组织的经济特征。</w:t>
      </w:r>
    </w:p>
    <w:p>
      <w:pPr>
        <w:pStyle w:val="3"/>
        <w:keepNext w:val="0"/>
        <w:keepLines w:val="0"/>
        <w:widowControl/>
        <w:suppressLineNumbers w:val="0"/>
        <w:ind w:left="0" w:firstLine="420"/>
        <w:jc w:val="both"/>
      </w:pPr>
      <w:r>
        <w:t>（三）关于行为特征。该组织为争取、维护组织及组织成员的经济利益，利用组织势力和形成的便利条件，有组织地多次实施开设赌场、寻衅滋事、非法拘禁、强迫交易等不同种类的违法犯罪活动，违法犯罪手段以“软暴力”为主，并体现出明显的组织化特点，多人出场摆势、分工配合，并以“硬暴力”为依托，实施多种“软暴力”讨债等违法犯罪活动，软硬暴力行为交织，“软暴力”可随时向“硬暴力”转化。这些行为系相关组织成员为确立强势地位、实现非法债权、牟取不法利益、按照组织惯常的行为模式与手段实施的，相关违法犯罪行为符合组织利益，体现组织意志，黑社会性质组织的行为特征明显。</w:t>
      </w:r>
    </w:p>
    <w:p>
      <w:pPr>
        <w:pStyle w:val="3"/>
        <w:keepNext w:val="0"/>
        <w:keepLines w:val="0"/>
        <w:widowControl/>
        <w:suppressLineNumbers w:val="0"/>
        <w:ind w:left="0" w:firstLine="420"/>
        <w:jc w:val="both"/>
      </w:pPr>
      <w:r>
        <w:t>（四）关于危害性特征。该犯罪组织通过实施一系列违法犯罪活动，为非作恶，欺压、残害群众。在社会秩序层面上，该犯罪组织长期实施开设赌场、非法放贷，“软暴力”讨债等违法犯罪活动，范围波及江苏省常熟市多个街道，给被害人及其家庭正常生活带来严重影响，给部分被害人企业的正常生产经营带来严重破坏，给部分被害人所在机关学校的正常工作和教学秩序带来严重冲击。相关违法犯罪行为败坏社会风气，冲击治安秩序，严重降低群众安全感、幸福感，影响十分恶劣。在管理秩序层面上，该犯罪组织刻意逃避公安机关的管理、整治和打击，破坏了正常社会管理秩序。在社会影响层面上，这些违法犯罪活动在一定区域内致使多名群众合法权益遭受侵害，从在案证据证实的群众切身感受看，群众普遍感觉心里恐慌，安全感下降，群众普遍要求进行整治，恢复经济、社会生活秩序。</w:t>
      </w:r>
    </w:p>
    <w:p>
      <w:pPr>
        <w:pStyle w:val="3"/>
        <w:keepNext w:val="0"/>
        <w:keepLines w:val="0"/>
        <w:widowControl/>
        <w:suppressLineNumbers w:val="0"/>
        <w:ind w:left="0" w:firstLine="420"/>
        <w:jc w:val="both"/>
      </w:pPr>
      <w:r>
        <w:t>综上所述，本案犯罪组织符合黑社会性质组织认定标准。该组织已经形成了“以黑养黑”的组织运作模式，这一模式使该组织明显区别于一般的共同犯罪和恶势力犯罪集团。龚品文犯罪组织虽然未发现“保护伞”，但通过实施违法犯罪行为，使当地群众产生心理恐惧和不安全感，严重破坏了当地的社会治安秩序、市场经济秩序。对黑社会组织的认定，不能仅根据一个或数个孤立事实来认定，而是要通过一系列的违法犯罪事实来反映。因为以“软暴力”为手段的行为通常不是实施一次就能符合刑法规定的犯罪构成，其单个的行为通常因为情节轻微或显著轻微、后果不严重而不作为犯罪处理或不能认定为犯罪，此时必须综合考虑“软暴力”行为的长期性、多样性来判断其社会影响及是否构成黑恶犯罪。黑社会性质组织犯罪的危害性特征所要求的“造成重大影响”是通过一系列的违法犯罪活动形成的，具有一定的深度和广度，而非个别的、一时的，特别是在以“软暴力”为主要手段的犯罪组织中，要结合违法犯罪活动的次数、时间跨度、性质、后果、侵害对象的个数、是否有向“硬暴力”转化的现实可能、造成的社会影响及群众安全感是否下降等因素综合判断，不能局限在必须要求具体的违法犯罪活动都要造成严重后果或者在社会上造成恶劣影响，也不能简单地以当地普通群众不知晓、非法控制不明显等，认为其危害性不严重。从本案中被告人非法放贷后通过“软暴力”讨债造成的被害人及其家庭、单位所受的具体影响和周边群众的切身感受等来看，社会危害性极其严重，构成了组织、领导、参加黑社会性质组织罪。</w:t>
      </w:r>
    </w:p>
    <w:p>
      <w:pPr>
        <w:pStyle w:val="3"/>
        <w:keepNext w:val="0"/>
        <w:keepLines w:val="0"/>
        <w:widowControl/>
        <w:suppressLineNumbers w:val="0"/>
        <w:ind w:left="0" w:firstLine="420"/>
        <w:jc w:val="both"/>
      </w:pPr>
      <w:r>
        <w:t>（生效裁判审判人员：李秀康、沈丽、王江）</w:t>
      </w:r>
    </w:p>
    <w:p>
      <w:pPr>
        <w:keepNext w:val="0"/>
        <w:keepLines w:val="0"/>
        <w:widowControl/>
        <w:suppressLineNumbers w:val="0"/>
      </w:pPr>
      <w:r>
        <w:pict>
          <v:rect id="_x0000_i1026"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ind w:left="0" w:firstLine="420"/>
        <w:jc w:val="center"/>
      </w:pPr>
      <w:r>
        <w:t>指导案例187号</w:t>
      </w:r>
    </w:p>
    <w:p>
      <w:pPr>
        <w:pStyle w:val="3"/>
        <w:keepNext w:val="0"/>
        <w:keepLines w:val="0"/>
        <w:widowControl/>
        <w:suppressLineNumbers w:val="0"/>
        <w:ind w:left="0" w:firstLine="420"/>
        <w:jc w:val="center"/>
      </w:pPr>
      <w:r>
        <w:rPr>
          <w:rStyle w:val="6"/>
          <w:sz w:val="19"/>
          <w:szCs w:val="19"/>
        </w:rPr>
        <w:t>吴强等敲诈勒索、抢劫、故意伤害案</w:t>
      </w:r>
    </w:p>
    <w:p>
      <w:pPr>
        <w:pStyle w:val="3"/>
        <w:keepNext w:val="0"/>
        <w:keepLines w:val="0"/>
        <w:widowControl/>
        <w:suppressLineNumbers w:val="0"/>
        <w:ind w:left="0" w:firstLine="420"/>
        <w:jc w:val="center"/>
      </w:pPr>
      <w:r>
        <w:t>（最高人民法院审判委员会讨论通过2022年11月29日发布）</w:t>
      </w:r>
    </w:p>
    <w:p>
      <w:pPr>
        <w:pStyle w:val="3"/>
        <w:keepNext w:val="0"/>
        <w:keepLines w:val="0"/>
        <w:widowControl/>
        <w:suppressLineNumbers w:val="0"/>
        <w:ind w:left="0" w:firstLine="420"/>
        <w:jc w:val="both"/>
      </w:pPr>
      <w:r>
        <w:t>关键词 刑事/犯罪集团/恶势力犯罪集团/公然性</w:t>
      </w:r>
    </w:p>
    <w:p>
      <w:pPr>
        <w:pStyle w:val="3"/>
        <w:keepNext w:val="0"/>
        <w:keepLines w:val="0"/>
        <w:widowControl/>
        <w:suppressLineNumbers w:val="0"/>
        <w:ind w:left="0" w:firstLine="420"/>
        <w:jc w:val="both"/>
      </w:pPr>
      <w:r>
        <w:t>裁判要点</w:t>
      </w:r>
    </w:p>
    <w:p>
      <w:pPr>
        <w:pStyle w:val="3"/>
        <w:keepNext w:val="0"/>
        <w:keepLines w:val="0"/>
        <w:widowControl/>
        <w:suppressLineNumbers w:val="0"/>
        <w:ind w:left="0" w:firstLine="420"/>
        <w:jc w:val="both"/>
      </w:pPr>
      <w:r>
        <w:t>恶势力犯罪集团是符合犯罪集团法定条件的恶势力犯罪组织。恶势力犯罪集团应当具备“为非作恶、欺压百姓”特征，其行为“造成较为恶劣的社会影响”，因而实施违法犯罪活动必然具有一定的公然性，且手段应具有较严重的强迫性、压制性。普通犯罪集团实施犯罪活动如仅为牟取不法经济利益，缺乏造成较为恶劣社会影响的意图，在行为方式的公然性、犯罪手段的强迫压制程度等方面与恶势力犯罪集团存在区别，可按犯罪集团处理，但不应认定为恶势力犯罪集团。</w:t>
      </w:r>
    </w:p>
    <w:p>
      <w:pPr>
        <w:pStyle w:val="3"/>
        <w:keepNext w:val="0"/>
        <w:keepLines w:val="0"/>
        <w:widowControl/>
        <w:suppressLineNumbers w:val="0"/>
        <w:ind w:left="0" w:firstLine="420"/>
        <w:jc w:val="both"/>
      </w:pPr>
      <w:r>
        <w:t>相关法条</w:t>
      </w:r>
    </w:p>
    <w:p>
      <w:pPr>
        <w:pStyle w:val="3"/>
        <w:keepNext w:val="0"/>
        <w:keepLines w:val="0"/>
        <w:widowControl/>
        <w:suppressLineNumbers w:val="0"/>
        <w:ind w:left="0" w:firstLine="420"/>
        <w:jc w:val="both"/>
      </w:pPr>
      <w:r>
        <w:t>《中华人民共和国刑法》第26条</w:t>
      </w:r>
    </w:p>
    <w:p>
      <w:pPr>
        <w:pStyle w:val="3"/>
        <w:keepNext w:val="0"/>
        <w:keepLines w:val="0"/>
        <w:widowControl/>
        <w:suppressLineNumbers w:val="0"/>
        <w:ind w:left="0" w:firstLine="420"/>
        <w:jc w:val="both"/>
      </w:pPr>
      <w:r>
        <w:t>基本案情</w:t>
      </w:r>
    </w:p>
    <w:p>
      <w:pPr>
        <w:pStyle w:val="3"/>
        <w:keepNext w:val="0"/>
        <w:keepLines w:val="0"/>
        <w:widowControl/>
        <w:suppressLineNumbers w:val="0"/>
        <w:ind w:left="0" w:firstLine="420"/>
        <w:jc w:val="both"/>
      </w:pPr>
      <w:r>
        <w:t>2017年2月初，被告人吴强、季少廷为牟取不法利益，与被告人曹兵共同商定，通过约熟人吃饭时“劝酒”，诱使被害人酒后驾驶机动车，而后再制造交通事故，以被害人系酒后驾驶机动车欲报警相要挟，索要他人钱财。后被告人曹静怡、李颖明知被告人吴强等人欲实施上述违法犯罪活动而积极加入。并在被告人吴强、季少廷的组织、安排下，逐步形成相对稳定、分工明确的犯罪团伙，开始实施敲诈勒索犯罪。在实施违法犯罪的过程中，为了增加人手，被告人吴强又通过被告人邵添麒将季某某、徐某某（均系未成年人，另案处理）带入敲诈勒索犯罪团伙。</w:t>
      </w:r>
    </w:p>
    <w:p>
      <w:pPr>
        <w:pStyle w:val="3"/>
        <w:keepNext w:val="0"/>
        <w:keepLines w:val="0"/>
        <w:widowControl/>
        <w:suppressLineNumbers w:val="0"/>
        <w:ind w:left="0" w:firstLine="420"/>
        <w:jc w:val="both"/>
      </w:pPr>
      <w:r>
        <w:t>2017年2月底至3月初，季某某、徐某某随被告人吴强共同居住于江苏省南通市通州高新技术产业开发区的租住地，并由吴强负责二人的起居、生活及日常开销。在短时间内，快速形成以吴强为首的犯罪集团，其中吴强为该犯罪集团的首要分子，被告人季少廷及季某某、徐某某为该犯罪集团的骨干成员，被告人曹静怡、李颖、邵添麒等人为该集团的主要成员，被告人季凯文、曹立强、姜东东、曹兵以及应某某（未成年人，另案处理）、邱某某（另案处理）为该犯罪集团的积极参加者。期间，吴强纠集季少廷、曹静怡、李颖、邵添麒、曹兵以及季某某、徐某某等人，以威胁、恐吓等手段，先后五次实施敲诈勒索的犯罪行为。后吴强发现赌场内的流动资金较多，且参与赌博人员害怕处理一般不敢报警，遂又纠集季凯文、曹立强、姜东东及季某某、徐某某、应某某等人持气手枪、管制刀具、电棍等，采用暴力手段实施抢劫。</w:t>
      </w:r>
    </w:p>
    <w:p>
      <w:pPr>
        <w:pStyle w:val="3"/>
        <w:keepNext w:val="0"/>
        <w:keepLines w:val="0"/>
        <w:widowControl/>
        <w:suppressLineNumbers w:val="0"/>
        <w:ind w:left="0" w:firstLine="420"/>
        <w:jc w:val="both"/>
      </w:pPr>
      <w:r>
        <w:t>2017年12月，江苏省南通市通州区人民检察院以被告人吴强等人犯抢劫罪、敲诈勒索罪，向江苏省南通市通州区人民法院提起公诉。审理中，江苏省南通市通州区人民检察院追加起诉吴强犯故意伤害罪，同时追加认定本案是以吴强为首带有恶势力性质的犯罪集团。</w:t>
      </w:r>
    </w:p>
    <w:p>
      <w:pPr>
        <w:pStyle w:val="3"/>
        <w:keepNext w:val="0"/>
        <w:keepLines w:val="0"/>
        <w:widowControl/>
        <w:suppressLineNumbers w:val="0"/>
        <w:ind w:left="0" w:firstLine="420"/>
        <w:jc w:val="both"/>
      </w:pPr>
      <w:r>
        <w:t>裁判结果</w:t>
      </w:r>
    </w:p>
    <w:p>
      <w:pPr>
        <w:pStyle w:val="3"/>
        <w:keepNext w:val="0"/>
        <w:keepLines w:val="0"/>
        <w:widowControl/>
        <w:suppressLineNumbers w:val="0"/>
        <w:ind w:left="0" w:firstLine="420"/>
        <w:jc w:val="both"/>
      </w:pPr>
      <w:r>
        <w:t>江苏省南通市通州区人民法院于2018年6月28日作出（2017）苏0612刑初830号刑事判决，认定被告人吴强犯抢劫罪，判处有期徒刑十二年，剥夺政治权利二年，并处罚金人民币四千元；犯敲诈勒索罪，判处有期徒刑二年，并处罚金人民币一万元；犯故意伤害罪，判处有期徒刑十个月，决定执行有期徒刑十三年六个月，剥夺政治权利二年，并处罚金人民币一万四千元。对本案其他被告人亦判处了相应刑罚。一审宣判后，被告人均未上诉，检察机关亦未抗诉。一审判决已发生法律效力。</w:t>
      </w:r>
    </w:p>
    <w:p>
      <w:pPr>
        <w:pStyle w:val="3"/>
        <w:keepNext w:val="0"/>
        <w:keepLines w:val="0"/>
        <w:widowControl/>
        <w:suppressLineNumbers w:val="0"/>
        <w:ind w:left="0" w:firstLine="420"/>
        <w:jc w:val="both"/>
      </w:pPr>
      <w:r>
        <w:t>裁判理由</w:t>
      </w:r>
    </w:p>
    <w:p>
      <w:pPr>
        <w:pStyle w:val="3"/>
        <w:keepNext w:val="0"/>
        <w:keepLines w:val="0"/>
        <w:widowControl/>
        <w:suppressLineNumbers w:val="0"/>
        <w:ind w:left="0" w:firstLine="420"/>
        <w:jc w:val="both"/>
      </w:pPr>
      <w:r>
        <w:t>法院生效裁判认为：被告人吴强、季少廷、曹静怡、李颖、邵添麒、季凯文、姜东东、曹立强、曹兵等人与另案处理的季某某、徐某某、应某某等人为共同实施犯罪而组成较为固定的犯罪组织，期间采取以暴力、威胁等手段，在一定区域内多次实施敲诈勒索、抢劫等违法犯罪活动，且在实施犯罪过程中目的明确、分工明细，严重扰乱经济、社会生活秩序，造成较为恶劣的社会影响，可以认定为犯罪集团。</w:t>
      </w:r>
    </w:p>
    <w:p>
      <w:pPr>
        <w:pStyle w:val="3"/>
        <w:keepNext w:val="0"/>
        <w:keepLines w:val="0"/>
        <w:widowControl/>
        <w:suppressLineNumbers w:val="0"/>
        <w:ind w:left="0" w:firstLine="420"/>
        <w:jc w:val="both"/>
      </w:pPr>
      <w:r>
        <w:t>被告人吴强组织、领导该犯罪集团实施一系列犯罪活动，是该犯罪集团的首要分子；被告人季少廷及季某某、徐某某等人参与谋划被告人吴强组织实施的敲诈勒索犯罪或抢劫犯罪，是该犯罪集团的骨干成员；被告人曹静怡、李颖多次积极参与该犯罪集团的敲诈勒索犯罪活动，被告人邵添麒将平时跟随其的未成年人季某某、徐某某介绍给被告人吴强，并同意让季某某、徐某某加入该犯罪集团，且其本人也亲自参与该犯罪集团的敲诈勒索犯罪活动，上述被告人是该集团的主要成员；被告人季凯文、曹立强、姜东东、曹兵以及未成年人应某某明知被告人吴强为首的犯罪集团实施违法犯罪活动，而积极参与商量、实施，上述被告人是该犯罪集团的积极参加者。对公诉机关指控本案属犯罪集团，人民法院予以支持。</w:t>
      </w:r>
    </w:p>
    <w:p>
      <w:pPr>
        <w:pStyle w:val="3"/>
        <w:keepNext w:val="0"/>
        <w:keepLines w:val="0"/>
        <w:widowControl/>
        <w:suppressLineNumbers w:val="0"/>
        <w:ind w:left="0" w:firstLine="420"/>
        <w:jc w:val="both"/>
      </w:pPr>
      <w:r>
        <w:t>被告人吴强等人实施的犯罪活动明显是为了牟取不法经济利益，但缺乏“形成非法影响、谋求强势地位”，进而造成较为恶劣社会影响的意图。在敲诈勒索犯罪中，被告人吴强等人的主要犯罪手段是约熟人吃饭，设局“劝酒”造成被害人酒后驾车，再制造交通事故，进而以报警相要挟，通过所谓的“协商”实现对被害人财物的非法占有。吴强等人在单纯“谋财”意图的支配下实施敲诈勒索、抢劫犯罪，“为非作恶，欺压百姓”的特征尚不明显，犯罪手段、行为方式与典型的恶势力犯罪集团存在明显差异，实际所侵犯的法益也基本集中在公民财产权利方面。恶势力犯罪集团是符合犯罪集团法定条件的恶势力犯罪组织，其特征表现为：有三名以上的组织成员，有明显的首要分子，重要成员较为固定，组织成员经常纠集在一起，共同故意实施三次以上恶势力惯常实施的犯罪活动或其他犯罪活动。本案被告人系单纯为牟取不法经济利益而实施违法犯罪活动，不具有“为非作恶，欺压百姓”特征，参照《最高人民法院、最高人民检察院、公安部、司法部关于办理黑恶势力犯罪案件若干问题的指导意见》中关于恶势力、恶势力犯罪集团应符合“经常纠集在一起，以暴力、威胁或者其他手段，在一定区域或者行业内多次实施违法犯罪活动，为非作恶，欺压百姓，扰乱经济、社会生活秩序，造成较为恶劣的社会影响，但尚未形成黑社会性质组织的违法犯罪组织”的认定要求，本案不能认定为恶势力犯罪集团，应按一般犯罪集团对各被告人定罪量刑。</w:t>
      </w:r>
    </w:p>
    <w:p>
      <w:pPr>
        <w:pStyle w:val="3"/>
        <w:keepNext w:val="0"/>
        <w:keepLines w:val="0"/>
        <w:widowControl/>
        <w:suppressLineNumbers w:val="0"/>
        <w:ind w:left="0" w:firstLine="420"/>
        <w:jc w:val="both"/>
      </w:pPr>
      <w:r>
        <w:t>（生效裁判审判人员：李振男、金永南、施玉萍）</w:t>
      </w:r>
    </w:p>
    <w:p>
      <w:pPr>
        <w:keepNext w:val="0"/>
        <w:keepLines w:val="0"/>
        <w:widowControl/>
        <w:suppressLineNumbers w:val="0"/>
      </w:pPr>
      <w:r>
        <w:pict>
          <v:rect id="_x0000_i1027"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ind w:left="0" w:firstLine="420"/>
        <w:jc w:val="center"/>
      </w:pPr>
      <w:r>
        <w:t>指导案例188号</w:t>
      </w:r>
    </w:p>
    <w:p>
      <w:pPr>
        <w:pStyle w:val="3"/>
        <w:keepNext w:val="0"/>
        <w:keepLines w:val="0"/>
        <w:widowControl/>
        <w:suppressLineNumbers w:val="0"/>
        <w:ind w:left="0" w:firstLine="420"/>
        <w:jc w:val="center"/>
      </w:pPr>
      <w:r>
        <w:rPr>
          <w:rStyle w:val="6"/>
        </w:rPr>
        <w:t>史广振等组织、领导、参加黑社会性质组织案</w:t>
      </w:r>
    </w:p>
    <w:p>
      <w:pPr>
        <w:pStyle w:val="3"/>
        <w:keepNext w:val="0"/>
        <w:keepLines w:val="0"/>
        <w:widowControl/>
        <w:suppressLineNumbers w:val="0"/>
        <w:ind w:left="0" w:firstLine="420"/>
        <w:jc w:val="center"/>
      </w:pPr>
      <w:r>
        <w:t>（最高人民法院审判委员会讨论通过2022年11月29日发布）</w:t>
      </w:r>
    </w:p>
    <w:p>
      <w:pPr>
        <w:pStyle w:val="3"/>
        <w:keepNext w:val="0"/>
        <w:keepLines w:val="0"/>
        <w:widowControl/>
        <w:suppressLineNumbers w:val="0"/>
        <w:ind w:left="0" w:firstLine="420"/>
        <w:jc w:val="both"/>
      </w:pPr>
      <w:r>
        <w:t>关键词 刑事诉讼/组织、领导、参加黑社会性质组织罪/涉案财物权属/案外人</w:t>
      </w:r>
    </w:p>
    <w:p>
      <w:pPr>
        <w:pStyle w:val="3"/>
        <w:keepNext w:val="0"/>
        <w:keepLines w:val="0"/>
        <w:widowControl/>
        <w:suppressLineNumbers w:val="0"/>
        <w:ind w:left="0" w:firstLine="420"/>
        <w:jc w:val="both"/>
      </w:pPr>
      <w:r>
        <w:t>裁判要点</w:t>
      </w:r>
    </w:p>
    <w:p>
      <w:pPr>
        <w:pStyle w:val="3"/>
        <w:keepNext w:val="0"/>
        <w:keepLines w:val="0"/>
        <w:widowControl/>
        <w:suppressLineNumbers w:val="0"/>
        <w:ind w:left="0" w:firstLine="420"/>
        <w:jc w:val="both"/>
      </w:pPr>
      <w:r>
        <w:t>在涉黑社会性质组织犯罪案件审理中，应当对查封、扣押、冻结财物及其孳息的权属进行调查，案外人对查封、扣押、冻结财物及其孳息提出权属异议的，人民法院应当听取其意见，确有必要的，人民法院可以通知其出庭，以查明相关财物权属。</w:t>
      </w:r>
    </w:p>
    <w:p>
      <w:pPr>
        <w:pStyle w:val="3"/>
        <w:keepNext w:val="0"/>
        <w:keepLines w:val="0"/>
        <w:widowControl/>
        <w:suppressLineNumbers w:val="0"/>
        <w:ind w:left="0" w:firstLine="420"/>
        <w:jc w:val="both"/>
      </w:pPr>
      <w:r>
        <w:t>相关法条</w:t>
      </w:r>
    </w:p>
    <w:p>
      <w:pPr>
        <w:pStyle w:val="3"/>
        <w:keepNext w:val="0"/>
        <w:keepLines w:val="0"/>
        <w:widowControl/>
        <w:suppressLineNumbers w:val="0"/>
        <w:ind w:left="0" w:firstLine="420"/>
        <w:jc w:val="both"/>
      </w:pPr>
      <w:r>
        <w:t>《中华人民共和国刑法》第294条</w:t>
      </w:r>
    </w:p>
    <w:p>
      <w:pPr>
        <w:pStyle w:val="3"/>
        <w:keepNext w:val="0"/>
        <w:keepLines w:val="0"/>
        <w:widowControl/>
        <w:suppressLineNumbers w:val="0"/>
        <w:ind w:left="0" w:firstLine="420"/>
        <w:jc w:val="both"/>
      </w:pPr>
      <w:r>
        <w:t>基本案情</w:t>
      </w:r>
    </w:p>
    <w:p>
      <w:pPr>
        <w:pStyle w:val="3"/>
        <w:keepNext w:val="0"/>
        <w:keepLines w:val="0"/>
        <w:widowControl/>
        <w:suppressLineNumbers w:val="0"/>
        <w:ind w:left="0" w:firstLine="420"/>
        <w:jc w:val="both"/>
      </w:pPr>
      <w:r>
        <w:t>被告人史广振2007年12月即开始进行违法犯罪活动。2014年以来，被告人史广振、赵振、付利刚等人先后实施组织、领导、参加黑社会性质组织，开设赌场，非法拘禁，聚众斗殴，寻衅滋事，妨害公务等违法犯罪行为。公安机关在侦查阶段查扣史广振前妻王某某房产一套及王某某出售其名下路虎越野车所得车款60万元，另查扣王某某工商银行卡一张，冻结存款2221元。河南省修武县人民检察院提起公诉后，王某某就扣押财物权属提出异议并向法院提供相关证据。审理期间，人民法院通知王某某出庭。</w:t>
      </w:r>
    </w:p>
    <w:p>
      <w:pPr>
        <w:pStyle w:val="3"/>
        <w:keepNext w:val="0"/>
        <w:keepLines w:val="0"/>
        <w:widowControl/>
        <w:suppressLineNumbers w:val="0"/>
        <w:ind w:left="0" w:firstLine="420"/>
        <w:jc w:val="both"/>
      </w:pPr>
      <w:r>
        <w:t>法院经审理查明，被告人史广振与王某某2012年9月结婚。2013年7月，王某某在河南省焦作市购置房产一处，现由王某某及其父母、女儿居住；2014年2月，史广振、王某某以王某某名义购买路虎越野车一辆；另扣押王某某工商银行卡一张，冻结存款2221元。2014年12月，史广振与王某某协议离婚，案涉房产、路虎越野车归王某某所有。路虎越野车已被王某某处分，得款60万元，现已查扣在案。</w:t>
      </w:r>
    </w:p>
    <w:p>
      <w:pPr>
        <w:pStyle w:val="3"/>
        <w:keepNext w:val="0"/>
        <w:keepLines w:val="0"/>
        <w:widowControl/>
        <w:suppressLineNumbers w:val="0"/>
        <w:ind w:left="0" w:firstLine="420"/>
        <w:jc w:val="both"/>
      </w:pPr>
      <w:r>
        <w:t>裁判结果</w:t>
      </w:r>
    </w:p>
    <w:p>
      <w:pPr>
        <w:pStyle w:val="3"/>
        <w:keepNext w:val="0"/>
        <w:keepLines w:val="0"/>
        <w:widowControl/>
        <w:suppressLineNumbers w:val="0"/>
        <w:ind w:left="0" w:firstLine="420"/>
        <w:jc w:val="both"/>
      </w:pPr>
      <w:r>
        <w:t>河南省修武县人民法院于2018年12月28日作出（2018）豫0821刑初331号刑事判决，认定被告人史广振犯组织、领导黑社会性质组织罪，聚众斗殴罪，寻衅滋事罪，开设赌场罪，非法拘禁罪，妨害公务罪，数罪并罚，决定执行有期徒刑十六年，剥夺政治权利四年，并处没收个人全部财产（含路虎越野车的全部卖车款60万元及王某某银行卡存款2221元）。本案其他被告人分别被判处有期徒刑七年零六个月至有期徒刑六个月不等的刑罚。宣判后，史广振、赵振、付利刚等被告人提出上诉，河南省焦作市中级人民法院于2019年4月19日作出（2019）豫08刑终68号刑事裁定：驳回上诉，维持原判。</w:t>
      </w:r>
    </w:p>
    <w:p>
      <w:pPr>
        <w:pStyle w:val="3"/>
        <w:keepNext w:val="0"/>
        <w:keepLines w:val="0"/>
        <w:widowControl/>
        <w:suppressLineNumbers w:val="0"/>
        <w:ind w:left="0" w:firstLine="420"/>
        <w:jc w:val="both"/>
      </w:pPr>
      <w:r>
        <w:t>裁判理由</w:t>
      </w:r>
    </w:p>
    <w:p>
      <w:pPr>
        <w:pStyle w:val="3"/>
        <w:keepNext w:val="0"/>
        <w:keepLines w:val="0"/>
        <w:widowControl/>
        <w:suppressLineNumbers w:val="0"/>
        <w:ind w:left="0" w:firstLine="420"/>
        <w:jc w:val="both"/>
      </w:pPr>
      <w:r>
        <w:t>法院生效裁判认为：被告人史广振、赵振、付利刚等人的行为分别构成组织、领导、参加黑社会性质组织罪，聚众斗殴罪，寻衅滋事罪，开设赌场罪，非法拘禁罪，妨害公务罪。</w:t>
      </w:r>
    </w:p>
    <w:p>
      <w:pPr>
        <w:pStyle w:val="3"/>
        <w:keepNext w:val="0"/>
        <w:keepLines w:val="0"/>
        <w:widowControl/>
        <w:suppressLineNumbers w:val="0"/>
        <w:ind w:left="0" w:firstLine="420"/>
        <w:jc w:val="both"/>
      </w:pPr>
      <w:r>
        <w:t>被告人史广振前妻王某某名下的路虎越野车系史广振与王某某夫妻关系存续期间购买，但史广振与王某某均无正当职业，以二人合法收入无力承担路虎越野车的购置费用。史广振因被网上追逃无法办理银行卡，其一直使用王某某的银行卡，该卡流水显示有大量资金进出。综上所述，可以认定购置路虎越野车的费用及该银行卡中剩余钱款均属于违法所得，故已查扣的卖车款60万元及银行卡中剩余钱款均应当予以没收。</w:t>
      </w:r>
    </w:p>
    <w:p>
      <w:pPr>
        <w:pStyle w:val="3"/>
        <w:keepNext w:val="0"/>
        <w:keepLines w:val="0"/>
        <w:widowControl/>
        <w:suppressLineNumbers w:val="0"/>
        <w:ind w:left="0" w:firstLine="420"/>
        <w:jc w:val="both"/>
      </w:pPr>
      <w:r>
        <w:t>（生效裁判审判人员：蔡有安、徐利民、蒋扬眉）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5C4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NTKO</cp:lastModifiedBy>
  <dcterms:modified xsi:type="dcterms:W3CDTF">2023-06-25T02:12:28Z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C118F1C66A494C858862B7B8FFCB2150</vt:lpwstr>
  </property>
</Properties>
</file>